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607A68" w:rsidP="001E159E">
      <w:pPr>
        <w:spacing w:after="180"/>
        <w:rPr>
          <w:b/>
          <w:sz w:val="44"/>
          <w:szCs w:val="44"/>
        </w:rPr>
      </w:pPr>
      <w:r>
        <w:rPr>
          <w:noProof/>
          <w:szCs w:val="18"/>
          <w:lang w:eastAsia="en-GB"/>
        </w:rPr>
        <w:drawing>
          <wp:anchor distT="0" distB="0" distL="114300" distR="114300" simplePos="0" relativeHeight="251658240" behindDoc="0" locked="0" layoutInCell="1" allowOverlap="1">
            <wp:simplePos x="0" y="0"/>
            <wp:positionH relativeFrom="column">
              <wp:posOffset>2769557</wp:posOffset>
            </wp:positionH>
            <wp:positionV relativeFrom="paragraph">
              <wp:posOffset>323898</wp:posOffset>
            </wp:positionV>
            <wp:extent cx="1669774" cy="1038243"/>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9774" cy="1038243"/>
                    </a:xfrm>
                    <a:prstGeom prst="rect">
                      <a:avLst/>
                    </a:prstGeom>
                    <a:noFill/>
                  </pic:spPr>
                </pic:pic>
              </a:graphicData>
            </a:graphic>
            <wp14:sizeRelH relativeFrom="margin">
              <wp14:pctWidth>0</wp14:pctWidth>
            </wp14:sizeRelH>
            <wp14:sizeRelV relativeFrom="margin">
              <wp14:pctHeight>0</wp14:pctHeight>
            </wp14:sizeRelV>
          </wp:anchor>
        </w:drawing>
      </w:r>
      <w:r w:rsidR="009F427A">
        <w:rPr>
          <w:b/>
          <w:sz w:val="44"/>
          <w:szCs w:val="44"/>
        </w:rPr>
        <w:t>Building bricks</w:t>
      </w:r>
    </w:p>
    <w:p w:rsidR="001E159E" w:rsidRDefault="001E159E" w:rsidP="001E159E">
      <w:pPr>
        <w:spacing w:after="180"/>
      </w:pPr>
    </w:p>
    <w:p w:rsidR="00493158" w:rsidRPr="00493158" w:rsidRDefault="00493158" w:rsidP="00493158">
      <w:pPr>
        <w:spacing w:after="240"/>
      </w:pPr>
      <w:r w:rsidRPr="00493158">
        <w:rPr>
          <w:lang w:val="en-US"/>
        </w:rPr>
        <w:t xml:space="preserve">A toy building brick floats on water. </w:t>
      </w:r>
    </w:p>
    <w:p w:rsidR="00493158" w:rsidRPr="00201AC2" w:rsidRDefault="00493158" w:rsidP="001E159E">
      <w:pPr>
        <w:spacing w:after="240"/>
        <w:rPr>
          <w:szCs w:val="18"/>
        </w:rPr>
      </w:pPr>
    </w:p>
    <w:p w:rsidR="00493158" w:rsidRDefault="00493158" w:rsidP="00493158">
      <w:pPr>
        <w:spacing w:after="180"/>
        <w:rPr>
          <w:szCs w:val="18"/>
          <w:lang w:val="en-US"/>
        </w:rPr>
      </w:pPr>
    </w:p>
    <w:p w:rsidR="00607A68" w:rsidRDefault="00607A68" w:rsidP="00493158">
      <w:pPr>
        <w:spacing w:after="180"/>
        <w:rPr>
          <w:szCs w:val="18"/>
          <w:lang w:val="en-US"/>
        </w:rPr>
      </w:pPr>
    </w:p>
    <w:p w:rsidR="00493158" w:rsidRDefault="00493158" w:rsidP="00493158">
      <w:pPr>
        <w:spacing w:after="180"/>
        <w:rPr>
          <w:szCs w:val="18"/>
          <w:lang w:val="en-US"/>
        </w:rPr>
      </w:pPr>
      <w:r w:rsidRPr="00493158">
        <w:rPr>
          <w:szCs w:val="18"/>
          <w:lang w:val="en-US"/>
        </w:rPr>
        <w:t>Toy building bricks can be stuck together in a block.</w:t>
      </w:r>
    </w:p>
    <w:p w:rsidR="00493158" w:rsidRDefault="00493158" w:rsidP="00493158">
      <w:pPr>
        <w:spacing w:after="180"/>
        <w:jc w:val="center"/>
        <w:rPr>
          <w:sz w:val="28"/>
          <w:szCs w:val="18"/>
          <w:lang w:val="en-US"/>
        </w:rPr>
      </w:pPr>
      <w:r>
        <w:rPr>
          <w:noProof/>
          <w:sz w:val="28"/>
          <w:szCs w:val="18"/>
          <w:lang w:eastAsia="en-GB"/>
        </w:rPr>
        <w:drawing>
          <wp:inline distT="0" distB="0" distL="0" distR="0" wp14:anchorId="68C9B73D">
            <wp:extent cx="4189863" cy="1683706"/>
            <wp:effectExtent l="0" t="0" r="127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3003" cy="1693005"/>
                    </a:xfrm>
                    <a:prstGeom prst="rect">
                      <a:avLst/>
                    </a:prstGeom>
                    <a:noFill/>
                  </pic:spPr>
                </pic:pic>
              </a:graphicData>
            </a:graphic>
          </wp:inline>
        </w:drawing>
      </w:r>
    </w:p>
    <w:p w:rsidR="00493158" w:rsidRPr="00493158" w:rsidRDefault="00493158" w:rsidP="00493158">
      <w:pPr>
        <w:spacing w:before="360" w:after="180"/>
        <w:rPr>
          <w:sz w:val="28"/>
          <w:szCs w:val="18"/>
        </w:rPr>
      </w:pPr>
      <w:r w:rsidRPr="00493158">
        <w:rPr>
          <w:sz w:val="28"/>
          <w:szCs w:val="18"/>
          <w:lang w:val="en-US"/>
        </w:rPr>
        <w:t>When they are in a block, how many bricks will float?</w:t>
      </w:r>
    </w:p>
    <w:p w:rsidR="001E159E" w:rsidRPr="00493158" w:rsidRDefault="001E159E" w:rsidP="00493158">
      <w:pPr>
        <w:spacing w:after="180"/>
        <w:rPr>
          <w:i/>
        </w:rPr>
      </w:pPr>
      <w:r w:rsidRPr="00493158">
        <w:rPr>
          <w:i/>
        </w:rPr>
        <w:t>For each statement, tick (</w:t>
      </w:r>
      <w:r w:rsidRPr="00493158">
        <w:rPr>
          <w:i/>
        </w:rPr>
        <w:sym w:font="Wingdings" w:char="F0FC"/>
      </w:r>
      <w:r w:rsidRPr="00493158">
        <w:rPr>
          <w:i/>
        </w:rPr>
        <w:t xml:space="preserve">) </w:t>
      </w:r>
      <w:r w:rsidRPr="00493158">
        <w:rPr>
          <w:b/>
          <w:i/>
        </w:rPr>
        <w:t>one</w:t>
      </w:r>
      <w:r w:rsidRPr="00493158">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493158">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shd w:val="clear" w:color="auto" w:fill="auto"/>
            <w:vAlign w:val="center"/>
          </w:tcPr>
          <w:p w:rsidR="001E159E" w:rsidRPr="00493158" w:rsidRDefault="00493158" w:rsidP="00677EDD">
            <w:pPr>
              <w:tabs>
                <w:tab w:val="right" w:leader="dot" w:pos="8680"/>
              </w:tabs>
              <w:rPr>
                <w:rFonts w:eastAsia="Times New Roman" w:cs="Times New Roman"/>
                <w:lang w:eastAsia="en-GB"/>
              </w:rPr>
            </w:pPr>
            <w:r w:rsidRPr="00493158">
              <w:rPr>
                <w:rFonts w:eastAsia="Times New Roman" w:cs="Times New Roman"/>
                <w:lang w:eastAsia="en-GB"/>
              </w:rPr>
              <w:t>A block of three bricks will float.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493158">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shd w:val="clear" w:color="auto" w:fill="auto"/>
            <w:vAlign w:val="center"/>
          </w:tcPr>
          <w:p w:rsidR="001E159E" w:rsidRPr="00493158" w:rsidRDefault="00493158" w:rsidP="00677EDD">
            <w:pPr>
              <w:tabs>
                <w:tab w:val="right" w:leader="dot" w:pos="8680"/>
              </w:tabs>
              <w:rPr>
                <w:rFonts w:eastAsia="Times New Roman" w:cs="Times New Roman"/>
                <w:lang w:eastAsia="en-GB"/>
              </w:rPr>
            </w:pPr>
            <w:r w:rsidRPr="00493158">
              <w:rPr>
                <w:rFonts w:eastAsia="Times New Roman" w:cs="Times New Roman"/>
                <w:lang w:eastAsia="en-GB"/>
              </w:rPr>
              <w:t>A block of sixty bricks will float.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493158">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shd w:val="clear" w:color="auto" w:fill="auto"/>
            <w:vAlign w:val="center"/>
          </w:tcPr>
          <w:p w:rsidR="001E159E" w:rsidRPr="00493158" w:rsidRDefault="00493158" w:rsidP="00677EDD">
            <w:pPr>
              <w:tabs>
                <w:tab w:val="right" w:leader="dot" w:pos="8680"/>
              </w:tabs>
              <w:rPr>
                <w:rFonts w:eastAsia="Times New Roman" w:cs="Times New Roman"/>
                <w:lang w:eastAsia="en-GB"/>
              </w:rPr>
            </w:pPr>
            <w:r w:rsidRPr="00493158">
              <w:rPr>
                <w:rFonts w:eastAsia="Times New Roman" w:cs="Times New Roman"/>
                <w:lang w:eastAsia="en-GB"/>
              </w:rPr>
              <w:t>A block of a thousand bricks will float.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F7296" w:rsidRPr="006F3279" w:rsidRDefault="005F7296" w:rsidP="005F729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F7296" w:rsidP="006F3279">
            <w:pPr>
              <w:spacing w:after="60"/>
              <w:ind w:left="1304"/>
              <w:rPr>
                <w:b/>
                <w:sz w:val="40"/>
                <w:szCs w:val="40"/>
              </w:rPr>
            </w:pPr>
            <w:r>
              <w:rPr>
                <w:b/>
                <w:sz w:val="40"/>
                <w:szCs w:val="40"/>
              </w:rPr>
              <w:t>Building bricks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F7296" w:rsidP="0007651D">
            <w:pPr>
              <w:spacing w:before="60" w:after="60"/>
            </w:pPr>
            <w:r w:rsidRPr="007735D7">
              <w:t>An object that is surrounded by a fluid (liquid and/or gas) floats if its overall density is less than the density of the fluid.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F7296" w:rsidP="0007651D">
            <w:pPr>
              <w:spacing w:before="60" w:after="60"/>
              <w:rPr>
                <w:b/>
              </w:rPr>
            </w:pPr>
            <w:r w:rsidRPr="005F7296">
              <w:t>Describe how the mass and volume of an object affect how well it floats.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5F7296"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F7296" w:rsidP="000505CA">
            <w:pPr>
              <w:spacing w:before="60" w:after="60"/>
            </w:pPr>
            <w:r w:rsidRPr="005F7296">
              <w:t>Floating, sinking, weight, volume, density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F7296" w:rsidRDefault="005F7296" w:rsidP="005F7296">
      <w:pPr>
        <w:spacing w:after="180"/>
      </w:pPr>
      <w:r>
        <w:t xml:space="preserve">In a study of 13-14 year olds (n=120), </w:t>
      </w:r>
      <w:r>
        <w:rPr>
          <w:rFonts w:cstheme="minorHAnsi"/>
        </w:rPr>
        <w:t>Ȕ</w:t>
      </w:r>
      <w:r>
        <w:t>nal and Co</w:t>
      </w:r>
      <w:r>
        <w:rPr>
          <w:rFonts w:cstheme="minorHAnsi"/>
        </w:rPr>
        <w:t>ş</w:t>
      </w:r>
      <w:r>
        <w:t xml:space="preserve">tu </w:t>
      </w:r>
      <w:r>
        <w:fldChar w:fldCharType="begin"/>
      </w:r>
      <w:r>
        <w:instrText xml:space="preserve"> ADDIN EN.CITE &lt;EndNote&gt;&lt;Cite ExcludeAuth="1"&gt;&lt;Author&gt;Unal&lt;/Author&gt;&lt;Year&gt;2005&lt;/Year&gt;&lt;IDText&gt;Problematic issue for students: Does it sink or float?&lt;/IDText&gt;&lt;DisplayText&gt;(2005)&lt;/DisplayText&gt;&lt;record&gt;&lt;titles&gt;&lt;title&gt;Problematic issue for students: Does it sink or float?&lt;/title&gt;&lt;secondary-title&gt;Asia-Pacific Forum on Science Learning and Teaching&lt;/secondary-title&gt;&lt;/titles&gt;&lt;pages&gt;Article 3&lt;/pages&gt;&lt;contributors&gt;&lt;authors&gt;&lt;author&gt;Unal, S&lt;/author&gt;&lt;author&gt;Costu, B&lt;/author&gt;&lt;/authors&gt;&lt;/contributors&gt;&lt;added-date format="utc"&gt;1571657294&lt;/added-date&gt;&lt;ref-type name="Journal Article"&gt;17&lt;/ref-type&gt;&lt;dates&gt;&lt;year&gt;2005&lt;/year&gt;&lt;/dates&gt;&lt;rec-number&gt;164&lt;/rec-number&gt;&lt;last-updated-date format="utc"&gt;1571658513&lt;/last-updated-date&gt;&lt;volume&gt;6(1)&lt;/volume&gt;&lt;/record&gt;&lt;/Cite&gt;&lt;/EndNote&gt;</w:instrText>
      </w:r>
      <w:r>
        <w:fldChar w:fldCharType="separate"/>
      </w:r>
      <w:r>
        <w:rPr>
          <w:noProof/>
        </w:rPr>
        <w:t>(2005)</w:t>
      </w:r>
      <w:r>
        <w:fldChar w:fldCharType="end"/>
      </w:r>
      <w:r>
        <w:t xml:space="preserve"> found that about half of students thought that the main factor influencing whether an object floated or not was its weight or mass. It is quite common for young children to think all light objects float, and all heavy objects sink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In </w:t>
      </w:r>
      <w:r>
        <w:rPr>
          <w:rFonts w:cstheme="minorHAnsi"/>
        </w:rPr>
        <w:t>Ȕ</w:t>
      </w:r>
      <w:r>
        <w:t>nal and Co</w:t>
      </w:r>
      <w:r>
        <w:rPr>
          <w:rFonts w:cstheme="minorHAnsi"/>
        </w:rPr>
        <w:t>ş</w:t>
      </w:r>
      <w:r>
        <w:t xml:space="preserve">tu’s study many students identified the volume of an object as also playing a part in whether or not an object floated, but approximately 40% had difficulties in describing density and in comparing the densities of different objects. A surprising finding was that over half of students thought that increasing the volume of liquid in a container would make objects float more easily. Biddulph and Osborne </w:t>
      </w:r>
      <w:r>
        <w:fldChar w:fldCharType="begin"/>
      </w:r>
      <w:r>
        <w:instrText xml:space="preserve"> ADDIN EN.CITE &lt;EndNote&gt;&lt;Cite ExcludeAuth="1"&gt;&lt;Author&gt;Biddulph&lt;/Author&gt;&lt;Year&gt;1984&lt;/Year&gt;&lt;IDText&gt;Pupils&amp;apos; ideas about floating and sinking&lt;/IDText&gt;&lt;DisplayText&gt;(1984)&lt;/DisplayText&gt;&lt;record&gt;&lt;titles&gt;&lt;title&gt;Pupils&amp;apos; ideas about floating and sinking&lt;/title&gt;&lt;secondary-title&gt;Australian Science Education Research Association Conference&lt;/secondary-title&gt;&lt;/titles&gt;&lt;contributors&gt;&lt;authors&gt;&lt;author&gt;Biddulph, F&lt;/author&gt;&lt;author&gt;Osborne, R&lt;/author&gt;&lt;/authors&gt;&lt;/contributors&gt;&lt;added-date format="utc"&gt;1571661889&lt;/added-date&gt;&lt;pub-location&gt;Melbourne&lt;/pub-location&gt;&lt;ref-type name="Conference Paper"&gt;47&lt;/ref-type&gt;&lt;dates&gt;&lt;year&gt;1984&lt;/year&gt;&lt;/dates&gt;&lt;rec-number&gt;169&lt;/rec-number&gt;&lt;last-updated-date format="utc"&gt;1571662003&lt;/last-updated-date&gt;&lt;/record&gt;&lt;/Cite&gt;&lt;/EndNote&gt;</w:instrText>
      </w:r>
      <w:r>
        <w:fldChar w:fldCharType="separate"/>
      </w:r>
      <w:r>
        <w:rPr>
          <w:noProof/>
        </w:rPr>
        <w:t>(1984)</w:t>
      </w:r>
      <w:r>
        <w:fldChar w:fldCharType="end"/>
      </w:r>
      <w:r>
        <w:t xml:space="preserve"> found that up to 35% of 11- to 12-year-olds held this view.</w:t>
      </w:r>
    </w:p>
    <w:p w:rsidR="005F7296" w:rsidRDefault="005F7296" w:rsidP="005F7296">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sidRPr="009E416A">
        <w:rPr>
          <w:i/>
        </w:rPr>
        <w:t>heavy (or light) for 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BF12B1">
        <w:t>,</w:t>
      </w:r>
      <w:r>
        <w:t xml:space="preserve"> on the object.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bookmarkStart w:id="0" w:name="_GoBack"/>
      <w:bookmarkEnd w:id="0"/>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5F7296" w:rsidRDefault="005F7296">
      <w:pPr>
        <w:spacing w:after="200" w:line="276" w:lineRule="auto"/>
        <w:rPr>
          <w:rFonts w:cstheme="minorHAnsi"/>
          <w:i/>
        </w:rPr>
      </w:pPr>
      <w:r>
        <w:rPr>
          <w:rFonts w:cstheme="minorHAnsi"/>
          <w:i/>
        </w:rPr>
        <w:br w:type="page"/>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5F7296">
        <w:t xml:space="preserve"> (optional demonstration)</w:t>
      </w:r>
      <w:r w:rsidRPr="005B1739">
        <w:t>:</w:t>
      </w:r>
    </w:p>
    <w:p w:rsidR="00D04A0D" w:rsidRDefault="005F7296" w:rsidP="00D04A0D">
      <w:pPr>
        <w:pStyle w:val="ListParagraph"/>
        <w:numPr>
          <w:ilvl w:val="0"/>
          <w:numId w:val="1"/>
        </w:numPr>
        <w:spacing w:after="180"/>
      </w:pPr>
      <w:r>
        <w:t>Lego bricks (or similar)</w:t>
      </w:r>
    </w:p>
    <w:p w:rsidR="005F7296" w:rsidRDefault="005F7296" w:rsidP="00D04A0D">
      <w:pPr>
        <w:pStyle w:val="ListParagraph"/>
        <w:numPr>
          <w:ilvl w:val="0"/>
          <w:numId w:val="1"/>
        </w:numPr>
        <w:spacing w:after="180"/>
      </w:pPr>
      <w:r>
        <w:t>Glass trough of water</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312674" w:rsidP="00BF6C8A">
      <w:pPr>
        <w:spacing w:after="180"/>
      </w:pPr>
      <w:r>
        <w:t>All three statements are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950AF" w:rsidP="00A01222">
      <w:pPr>
        <w:spacing w:after="180"/>
      </w:pPr>
      <w:r w:rsidRPr="001950AF">
        <w:t>As more</w:t>
      </w:r>
      <w:r>
        <w:t xml:space="preserve"> toy bricks are added, the block gets heavier and heavier. It is common for students to think that when it becomes ‘heavy enough’ it will sink. This does not happen because as more toy bricks are added, the volume of the block also increases.</w:t>
      </w:r>
    </w:p>
    <w:p w:rsidR="001950AF" w:rsidRDefault="001950AF" w:rsidP="00A01222">
      <w:pPr>
        <w:spacing w:after="180"/>
      </w:pPr>
      <w:r>
        <w:t>One toy brick floats not necessarily because it is light, but because it is ‘light for its size’. A large block of toy building blocks can be heavy, but it is not ‘heavy for its size’. With ten times more toy bricks a block weighs ten times as much, but it also has ten times the volume. This means that ‘for its size’ it is not any heavier - it has the same density. The density of the block determines whether or not it floats, rather than weight (or mass) or volume alone.</w:t>
      </w:r>
    </w:p>
    <w:p w:rsidR="001950AF" w:rsidRPr="00840FAB" w:rsidRDefault="00840FAB" w:rsidP="00A01222">
      <w:pPr>
        <w:spacing w:after="180"/>
      </w:pPr>
      <w:r>
        <w:t xml:space="preserve">It is helpful for students to develop understanding that density is </w:t>
      </w:r>
      <w:r w:rsidRPr="00840FAB">
        <w:rPr>
          <w:i/>
        </w:rPr>
        <w:t>how heavy something is for its size</w:t>
      </w:r>
      <w:r w:rsidRPr="00840FAB">
        <w:t xml:space="preserve">, </w:t>
      </w:r>
      <w:r>
        <w:t xml:space="preserve">and of how it determines whether something floats or sinks, </w:t>
      </w:r>
      <w:r w:rsidRPr="00840FAB">
        <w:rPr>
          <w:i/>
        </w:rPr>
        <w:t>before</w:t>
      </w:r>
      <w:r>
        <w:t xml:space="preserve"> measuring or calculating density. Calculating density is not necessary for understanding floating and sinking, and adds to the cognitive load.</w:t>
      </w:r>
    </w:p>
    <w:p w:rsidR="00A01222" w:rsidRPr="00262FF2" w:rsidRDefault="00A01222" w:rsidP="00A01222">
      <w:pPr>
        <w:spacing w:after="180"/>
      </w:pPr>
      <w:r w:rsidRPr="004F039C">
        <w:t xml:space="preserve">If students have </w:t>
      </w:r>
      <w:r w:rsidR="004B1C32">
        <w:t>misunderstanding</w:t>
      </w:r>
      <w:r w:rsidRPr="004F039C">
        <w:t xml:space="preserve">s about </w:t>
      </w:r>
      <w:r w:rsidR="00CC41CC">
        <w:t>how mass (or weight) and volume affect how well an object floats</w:t>
      </w:r>
      <w:r w:rsidRPr="004F039C">
        <w:t xml:space="preserve">, </w:t>
      </w:r>
      <w:r w:rsidR="00CC41CC">
        <w:t xml:space="preserve">it can help to challenge them with practical examples that show mass or volume alone do not determine whether an object floats or sinks. This can be done by comparing ‘density blocks’ of different sizes and masses, and challenging students to predict and explain what they think will happen. This is described in more detail in the </w:t>
      </w:r>
      <w:r w:rsidRPr="00262FF2">
        <w:t xml:space="preserve">following BEST ‘response </w:t>
      </w:r>
      <w:r w:rsidR="00F2483A" w:rsidRPr="00262FF2">
        <w:t>activit</w:t>
      </w:r>
      <w:r w:rsidR="00262FF2">
        <w:t>y</w:t>
      </w:r>
      <w:r w:rsidRPr="00262FF2">
        <w:t>’</w:t>
      </w:r>
      <w:r w:rsidR="00CC41CC">
        <w:t>, which</w:t>
      </w:r>
      <w:r w:rsidRPr="00262FF2">
        <w:t xml:space="preserve"> could be used in follow-up to this diagnostic question:</w:t>
      </w:r>
    </w:p>
    <w:p w:rsidR="00A01222" w:rsidRPr="00262FF2" w:rsidRDefault="00A01222" w:rsidP="00A01222">
      <w:pPr>
        <w:pStyle w:val="ListParagraph"/>
        <w:numPr>
          <w:ilvl w:val="0"/>
          <w:numId w:val="1"/>
        </w:numPr>
        <w:spacing w:after="180"/>
      </w:pPr>
      <w:r w:rsidRPr="00262FF2">
        <w:t xml:space="preserve">Response </w:t>
      </w:r>
      <w:r w:rsidR="00F2483A" w:rsidRPr="00262FF2">
        <w:t>activity</w:t>
      </w:r>
      <w:r w:rsidRPr="00262FF2">
        <w:t xml:space="preserve">: </w:t>
      </w:r>
      <w:r w:rsidR="00262FF2" w:rsidRPr="00262FF2">
        <w:t>Block work</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A21A8">
        <w:t>.</w:t>
      </w:r>
    </w:p>
    <w:p w:rsidR="00CC78A5" w:rsidRDefault="00D278E8" w:rsidP="00E172C6">
      <w:pPr>
        <w:spacing w:after="180"/>
      </w:pPr>
      <w:r w:rsidRPr="0045323E">
        <w:t xml:space="preserve">Images: </w:t>
      </w:r>
      <w:r w:rsidR="007D536F">
        <w:t>Peter Fairhurst (UYSEG)</w:t>
      </w:r>
      <w:r w:rsidR="007A21A8">
        <w:t>.</w:t>
      </w:r>
    </w:p>
    <w:p w:rsidR="005F7296" w:rsidRDefault="003117F6" w:rsidP="00E24309">
      <w:pPr>
        <w:spacing w:after="180"/>
        <w:rPr>
          <w:b/>
          <w:color w:val="5F497A" w:themeColor="accent4" w:themeShade="BF"/>
          <w:sz w:val="24"/>
        </w:rPr>
      </w:pPr>
      <w:r w:rsidRPr="002C79AE">
        <w:rPr>
          <w:b/>
          <w:color w:val="5F497A" w:themeColor="accent4" w:themeShade="BF"/>
          <w:sz w:val="24"/>
        </w:rPr>
        <w:t>References</w:t>
      </w:r>
    </w:p>
    <w:p w:rsidR="005F7296" w:rsidRPr="005F7296" w:rsidRDefault="005F7296" w:rsidP="007A21A8">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F7296">
        <w:t xml:space="preserve">Allen, M. (2014). </w:t>
      </w:r>
      <w:r w:rsidRPr="005F7296">
        <w:rPr>
          <w:i/>
        </w:rPr>
        <w:t xml:space="preserve">Misconceptions in Primary Science, 2nd </w:t>
      </w:r>
      <w:r w:rsidRPr="005F7296">
        <w:t>edn</w:t>
      </w:r>
      <w:r w:rsidRPr="005F7296">
        <w:rPr>
          <w:i/>
        </w:rPr>
        <w:t xml:space="preserve"> </w:t>
      </w:r>
      <w:r w:rsidRPr="005F7296">
        <w:t>Berkshire, UK: Open University Press.</w:t>
      </w:r>
    </w:p>
    <w:p w:rsidR="005F7296" w:rsidRPr="005F7296" w:rsidRDefault="005F7296" w:rsidP="007A21A8">
      <w:pPr>
        <w:pStyle w:val="EndNoteBibliography"/>
        <w:spacing w:after="120"/>
        <w:ind w:left="426" w:hanging="426"/>
      </w:pPr>
      <w:r w:rsidRPr="005F7296">
        <w:t xml:space="preserve">Biddulph, F. and Osborne, R. (1984). Pupils' ideas about floating and sinking. </w:t>
      </w:r>
      <w:r w:rsidRPr="005F7296">
        <w:rPr>
          <w:i/>
        </w:rPr>
        <w:t>Australian Science Education Research Association Conference.</w:t>
      </w:r>
      <w:r w:rsidRPr="005F7296">
        <w:t xml:space="preserve"> Melbourne.</w:t>
      </w:r>
    </w:p>
    <w:p w:rsidR="005F7296" w:rsidRPr="005F7296" w:rsidRDefault="005F7296" w:rsidP="007A21A8">
      <w:pPr>
        <w:pStyle w:val="EndNoteBibliography"/>
        <w:spacing w:after="120"/>
        <w:ind w:left="426" w:hanging="426"/>
      </w:pPr>
      <w:r w:rsidRPr="005F7296">
        <w:t xml:space="preserve">Paik, S.-H., et al. (2017). Developing a Four-level Learning Progression and Assessment for the Concept of Buoyancy. </w:t>
      </w:r>
      <w:r w:rsidRPr="005F7296">
        <w:rPr>
          <w:i/>
        </w:rPr>
        <w:t>Eurasia journal of mathematics, science and technology education,</w:t>
      </w:r>
      <w:r w:rsidRPr="005F7296">
        <w:t xml:space="preserve"> 13(8)</w:t>
      </w:r>
      <w:r w:rsidRPr="005F7296">
        <w:rPr>
          <w:b/>
        </w:rPr>
        <w:t>,</w:t>
      </w:r>
      <w:r w:rsidRPr="005F7296">
        <w:t xml:space="preserve"> 4965-4986.</w:t>
      </w:r>
    </w:p>
    <w:p w:rsidR="005F7296" w:rsidRPr="005F7296" w:rsidRDefault="005F7296" w:rsidP="007A21A8">
      <w:pPr>
        <w:pStyle w:val="EndNoteBibliography"/>
        <w:spacing w:after="120"/>
        <w:ind w:left="426" w:hanging="426"/>
      </w:pPr>
      <w:r w:rsidRPr="005F7296">
        <w:t xml:space="preserve">Unal, S. and Costu, B. (2005). Problematic issue for students: Does it sink or float? </w:t>
      </w:r>
      <w:r w:rsidRPr="005F7296">
        <w:rPr>
          <w:i/>
        </w:rPr>
        <w:t>Asia-Pacific Forum on Science Learning and Teaching,</w:t>
      </w:r>
      <w:r w:rsidRPr="005F7296">
        <w:t xml:space="preserve"> 6(1)</w:t>
      </w:r>
      <w:r w:rsidRPr="005F7296">
        <w:rPr>
          <w:b/>
        </w:rPr>
        <w:t>,</w:t>
      </w:r>
      <w:r w:rsidRPr="005F7296">
        <w:t xml:space="preserve"> Article 3.</w:t>
      </w:r>
    </w:p>
    <w:p w:rsidR="00B46FF9" w:rsidRDefault="005F7296" w:rsidP="007A21A8">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296" w:rsidRDefault="005F7296" w:rsidP="000B473B">
      <w:r>
        <w:separator/>
      </w:r>
    </w:p>
  </w:endnote>
  <w:endnote w:type="continuationSeparator" w:id="0">
    <w:p w:rsidR="005F7296" w:rsidRDefault="005F729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FEF0A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F12B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296" w:rsidRDefault="005F7296" w:rsidP="000B473B">
      <w:r>
        <w:separator/>
      </w:r>
    </w:p>
  </w:footnote>
  <w:footnote w:type="continuationSeparator" w:id="0">
    <w:p w:rsidR="005F7296" w:rsidRDefault="005F729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2B180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FC37F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F7296"/>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950AF"/>
    <w:rsid w:val="001A1FED"/>
    <w:rsid w:val="001A40E2"/>
    <w:rsid w:val="001C4805"/>
    <w:rsid w:val="001E159E"/>
    <w:rsid w:val="00201AC2"/>
    <w:rsid w:val="00214608"/>
    <w:rsid w:val="0021607B"/>
    <w:rsid w:val="002178AC"/>
    <w:rsid w:val="0022547C"/>
    <w:rsid w:val="0025410A"/>
    <w:rsid w:val="00262FF2"/>
    <w:rsid w:val="0027553E"/>
    <w:rsid w:val="0028012F"/>
    <w:rsid w:val="002828DF"/>
    <w:rsid w:val="00287876"/>
    <w:rsid w:val="00292C53"/>
    <w:rsid w:val="00294E22"/>
    <w:rsid w:val="002B5D71"/>
    <w:rsid w:val="002C22EA"/>
    <w:rsid w:val="002C59BA"/>
    <w:rsid w:val="002C79AE"/>
    <w:rsid w:val="00301AA9"/>
    <w:rsid w:val="003117F6"/>
    <w:rsid w:val="00312674"/>
    <w:rsid w:val="003334B8"/>
    <w:rsid w:val="00337135"/>
    <w:rsid w:val="003533B8"/>
    <w:rsid w:val="003752BE"/>
    <w:rsid w:val="003A346A"/>
    <w:rsid w:val="003B2917"/>
    <w:rsid w:val="003B541B"/>
    <w:rsid w:val="003E2B2F"/>
    <w:rsid w:val="003E6046"/>
    <w:rsid w:val="003F16F9"/>
    <w:rsid w:val="00430C1F"/>
    <w:rsid w:val="00442595"/>
    <w:rsid w:val="0045323E"/>
    <w:rsid w:val="00493158"/>
    <w:rsid w:val="004B0EE1"/>
    <w:rsid w:val="004B1C32"/>
    <w:rsid w:val="004C5D20"/>
    <w:rsid w:val="004D0D83"/>
    <w:rsid w:val="004E1DF1"/>
    <w:rsid w:val="004E5592"/>
    <w:rsid w:val="0050055B"/>
    <w:rsid w:val="00524710"/>
    <w:rsid w:val="00535269"/>
    <w:rsid w:val="00555342"/>
    <w:rsid w:val="005560E2"/>
    <w:rsid w:val="005A452E"/>
    <w:rsid w:val="005A6EE7"/>
    <w:rsid w:val="005F1A7B"/>
    <w:rsid w:val="005F7296"/>
    <w:rsid w:val="00607A68"/>
    <w:rsid w:val="006355D8"/>
    <w:rsid w:val="00642ECD"/>
    <w:rsid w:val="006502A0"/>
    <w:rsid w:val="006772F5"/>
    <w:rsid w:val="006A4440"/>
    <w:rsid w:val="006B0615"/>
    <w:rsid w:val="006D166B"/>
    <w:rsid w:val="006F3279"/>
    <w:rsid w:val="00704AEE"/>
    <w:rsid w:val="00722F9A"/>
    <w:rsid w:val="00754539"/>
    <w:rsid w:val="0077646D"/>
    <w:rsid w:val="00781BC6"/>
    <w:rsid w:val="007A21A8"/>
    <w:rsid w:val="007A3C86"/>
    <w:rsid w:val="007A683E"/>
    <w:rsid w:val="007A748B"/>
    <w:rsid w:val="007B18B8"/>
    <w:rsid w:val="007C26E1"/>
    <w:rsid w:val="007D1D65"/>
    <w:rsid w:val="007D536F"/>
    <w:rsid w:val="007E0A9E"/>
    <w:rsid w:val="007E5309"/>
    <w:rsid w:val="00800DE1"/>
    <w:rsid w:val="00813F47"/>
    <w:rsid w:val="00840FAB"/>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9F427A"/>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12B1"/>
    <w:rsid w:val="00BF6C8A"/>
    <w:rsid w:val="00C05571"/>
    <w:rsid w:val="00C246CE"/>
    <w:rsid w:val="00C54711"/>
    <w:rsid w:val="00C57FA2"/>
    <w:rsid w:val="00CC2E4D"/>
    <w:rsid w:val="00CC41CC"/>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CEC09E"/>
  <w15:docId w15:val="{DD65F74F-A168-4FD7-B518-6EA509EC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F729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F7296"/>
    <w:rPr>
      <w:rFonts w:ascii="Calibri" w:hAnsi="Calibri" w:cs="Calibri"/>
      <w:noProof/>
      <w:lang w:val="en-US"/>
    </w:rPr>
  </w:style>
  <w:style w:type="paragraph" w:customStyle="1" w:styleId="EndNoteBibliography">
    <w:name w:val="EndNote Bibliography"/>
    <w:basedOn w:val="Normal"/>
    <w:link w:val="EndNoteBibliographyChar"/>
    <w:rsid w:val="005F7296"/>
    <w:rPr>
      <w:rFonts w:ascii="Calibri" w:hAnsi="Calibri" w:cs="Calibri"/>
      <w:noProof/>
      <w:lang w:val="en-US"/>
    </w:rPr>
  </w:style>
  <w:style w:type="character" w:customStyle="1" w:styleId="EndNoteBibliographyChar">
    <w:name w:val="EndNote Bibliography Char"/>
    <w:basedOn w:val="DefaultParagraphFont"/>
    <w:link w:val="EndNoteBibliography"/>
    <w:rsid w:val="005F729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07787222">
      <w:bodyDiv w:val="1"/>
      <w:marLeft w:val="0"/>
      <w:marRight w:val="0"/>
      <w:marTop w:val="0"/>
      <w:marBottom w:val="0"/>
      <w:divBdr>
        <w:top w:val="none" w:sz="0" w:space="0" w:color="auto"/>
        <w:left w:val="none" w:sz="0" w:space="0" w:color="auto"/>
        <w:bottom w:val="none" w:sz="0" w:space="0" w:color="auto"/>
        <w:right w:val="none" w:sz="0" w:space="0" w:color="auto"/>
      </w:divBdr>
    </w:div>
    <w:div w:id="520709446">
      <w:bodyDiv w:val="1"/>
      <w:marLeft w:val="0"/>
      <w:marRight w:val="0"/>
      <w:marTop w:val="0"/>
      <w:marBottom w:val="0"/>
      <w:divBdr>
        <w:top w:val="none" w:sz="0" w:space="0" w:color="auto"/>
        <w:left w:val="none" w:sz="0" w:space="0" w:color="auto"/>
        <w:bottom w:val="none" w:sz="0" w:space="0" w:color="auto"/>
        <w:right w:val="none" w:sz="0" w:space="0" w:color="auto"/>
      </w:divBdr>
    </w:div>
    <w:div w:id="1239943546">
      <w:bodyDiv w:val="1"/>
      <w:marLeft w:val="0"/>
      <w:marRight w:val="0"/>
      <w:marTop w:val="0"/>
      <w:marBottom w:val="0"/>
      <w:divBdr>
        <w:top w:val="none" w:sz="0" w:space="0" w:color="auto"/>
        <w:left w:val="none" w:sz="0" w:space="0" w:color="auto"/>
        <w:bottom w:val="none" w:sz="0" w:space="0" w:color="auto"/>
        <w:right w:val="none" w:sz="0" w:space="0" w:color="auto"/>
      </w:divBdr>
    </w:div>
    <w:div w:id="1488979432">
      <w:bodyDiv w:val="1"/>
      <w:marLeft w:val="0"/>
      <w:marRight w:val="0"/>
      <w:marTop w:val="0"/>
      <w:marBottom w:val="0"/>
      <w:divBdr>
        <w:top w:val="none" w:sz="0" w:space="0" w:color="auto"/>
        <w:left w:val="none" w:sz="0" w:space="0" w:color="auto"/>
        <w:bottom w:val="none" w:sz="0" w:space="0" w:color="auto"/>
        <w:right w:val="none" w:sz="0" w:space="0" w:color="auto"/>
      </w:divBdr>
    </w:div>
    <w:div w:id="154548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40</TotalTime>
  <Pages>4</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2019-10-24T10:39:00Z</dcterms:created>
  <dcterms:modified xsi:type="dcterms:W3CDTF">2019-10-31T14:14:00Z</dcterms:modified>
</cp:coreProperties>
</file>